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84" w:rsidRPr="001B0269" w:rsidRDefault="00596884" w:rsidP="00596884">
      <w:pPr>
        <w:ind w:firstLine="0"/>
      </w:pPr>
    </w:p>
    <w:p w:rsidR="00596884" w:rsidRPr="00B54767" w:rsidRDefault="00596884" w:rsidP="00596884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54767">
        <w:rPr>
          <w:rFonts w:asciiTheme="minorHAnsi" w:hAnsiTheme="minorHAnsi"/>
          <w:b/>
          <w:sz w:val="22"/>
          <w:szCs w:val="22"/>
        </w:rPr>
        <w:t>WYSOKOŚĆ CEN I STAWEK OPŁAT ZBIOROWEGO ZAOPATRZENIA W WODĘ</w:t>
      </w:r>
    </w:p>
    <w:p w:rsidR="00596884" w:rsidRPr="00B54767" w:rsidRDefault="00596884" w:rsidP="00596884">
      <w:pPr>
        <w:pStyle w:val="Standard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1140"/>
        <w:gridCol w:w="2345"/>
        <w:gridCol w:w="1984"/>
        <w:gridCol w:w="1985"/>
        <w:gridCol w:w="1907"/>
      </w:tblGrid>
      <w:tr w:rsidR="00596884" w:rsidRPr="00B54767" w:rsidTr="00CB2CC9">
        <w:trPr>
          <w:cantSplit/>
          <w:trHeight w:val="72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ind w:left="-75" w:hanging="3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pl-PL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Lp</w:t>
            </w:r>
            <w:r w:rsidRPr="001E7D9D"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bidi="en-US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Wyszczególnienie</w:t>
            </w:r>
          </w:p>
        </w:tc>
        <w:tc>
          <w:tcPr>
            <w:tcW w:w="5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Wielkość cen i stawek opłat</w:t>
            </w:r>
          </w:p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(podane są cenami netto)</w:t>
            </w:r>
          </w:p>
        </w:tc>
      </w:tr>
      <w:tr w:rsidR="00596884" w:rsidRPr="00B54767" w:rsidTr="00CB2CC9">
        <w:trPr>
          <w:cantSplit/>
          <w:trHeight w:val="27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ind w:hanging="6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Taryfowa grupa odbiorców usług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Rodzaj cen i stawek opłat</w:t>
            </w:r>
          </w:p>
        </w:tc>
        <w:tc>
          <w:tcPr>
            <w:tcW w:w="5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lang w:bidi="en-US"/>
              </w:rPr>
            </w:pPr>
          </w:p>
        </w:tc>
      </w:tr>
      <w:tr w:rsidR="00596884" w:rsidRPr="00B54767" w:rsidTr="00CB2CC9">
        <w:trPr>
          <w:cantSplit/>
          <w:trHeight w:val="27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lang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84" w:rsidRPr="001E7D9D" w:rsidRDefault="00596884" w:rsidP="00CB2CC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 xml:space="preserve">W okresie od </w:t>
            </w: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br/>
              <w:t>1 do 12 miesiąca obowiązywania nowej taryfy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84" w:rsidRPr="001E7D9D" w:rsidRDefault="00596884" w:rsidP="00CB2CC9">
            <w:pPr>
              <w:ind w:hanging="1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 xml:space="preserve">W okresie od </w:t>
            </w: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br/>
              <w:t>13 do 24 miesiąca obowiązywania nowej taryfy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84" w:rsidRPr="001E7D9D" w:rsidRDefault="00596884" w:rsidP="00CB2CC9">
            <w:pPr>
              <w:ind w:hanging="1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 xml:space="preserve">W okresie od </w:t>
            </w: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br/>
              <w:t>25 do 36 miesiąca obowiązywania nowej taryfy</w:t>
            </w:r>
          </w:p>
        </w:tc>
      </w:tr>
      <w:tr w:rsidR="00596884" w:rsidRPr="00B54767" w:rsidTr="00CB2CC9">
        <w:trPr>
          <w:cantSplit/>
          <w:trHeight w:val="106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</w:tr>
      <w:tr w:rsidR="00596884" w:rsidRPr="00B54767" w:rsidTr="00CB2CC9">
        <w:trPr>
          <w:cantSplit/>
          <w:trHeight w:val="8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1E7D9D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ind w:hanging="70"/>
              <w:jc w:val="center"/>
              <w:rPr>
                <w:rFonts w:asciiTheme="minorHAnsi" w:hAnsiTheme="minorHAnsi" w:cstheme="minorHAnsi"/>
                <w:sz w:val="22"/>
                <w:lang w:bidi="en-US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</w:rPr>
              <w:t>W1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>Cena wody (zł/m</w:t>
            </w:r>
            <w:r w:rsidRPr="001E7D9D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1E7D9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Pr="001E7D9D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1E7D9D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2,81</w:t>
            </w:r>
          </w:p>
        </w:tc>
      </w:tr>
      <w:tr w:rsidR="00596884" w:rsidRPr="00B54767" w:rsidTr="00CB2CC9">
        <w:trPr>
          <w:cantSplit/>
          <w:trHeight w:val="8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="Calibri Light"/>
                <w:sz w:val="22"/>
              </w:rPr>
              <w:t>Stawka opłaty abonamentowej (zł/odbiorcę/2 m-ce)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4,00</w:t>
            </w:r>
          </w:p>
        </w:tc>
      </w:tr>
      <w:tr w:rsidR="00596884" w:rsidRPr="00B54767" w:rsidTr="00CB2CC9">
        <w:trPr>
          <w:cantSplit/>
          <w:trHeight w:val="8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1E7D9D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ind w:hanging="70"/>
              <w:jc w:val="center"/>
              <w:rPr>
                <w:rFonts w:asciiTheme="minorHAnsi" w:hAnsiTheme="minorHAnsi" w:cstheme="minorHAnsi"/>
                <w:sz w:val="22"/>
                <w:lang w:bidi="en-US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</w:rPr>
              <w:t>W2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>Cena wody (zł/m</w:t>
            </w:r>
            <w:r w:rsidRPr="001E7D9D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1E7D9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Pr="001E7D9D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>09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Pr="001E7D9D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>92</w:t>
            </w:r>
          </w:p>
        </w:tc>
      </w:tr>
      <w:tr w:rsidR="00596884" w:rsidRPr="00B54767" w:rsidTr="00CB2CC9">
        <w:trPr>
          <w:cantSplit/>
          <w:trHeight w:val="8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="Calibri Light"/>
                <w:sz w:val="22"/>
              </w:rPr>
              <w:t>Stawka opłaty abonamentowej (zł/odbiorcę/2 m-ce)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4,00</w:t>
            </w:r>
          </w:p>
        </w:tc>
      </w:tr>
      <w:tr w:rsidR="00596884" w:rsidRPr="00B54767" w:rsidTr="00CB2CC9">
        <w:trPr>
          <w:cantSplit/>
          <w:trHeight w:val="8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ind w:hanging="250"/>
              <w:jc w:val="left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1E7D9D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 xml:space="preserve"> 3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ind w:firstLine="0"/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 xml:space="preserve"> Grupa </w:t>
            </w:r>
            <w:r>
              <w:rPr>
                <w:rFonts w:asciiTheme="minorHAnsi" w:hAnsiTheme="minorHAnsi" w:cstheme="minorHAnsi"/>
                <w:sz w:val="22"/>
              </w:rPr>
              <w:t>W3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>Cena wody (zł/m</w:t>
            </w:r>
            <w:r w:rsidRPr="001E7D9D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1E7D9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3,01</w:t>
            </w:r>
          </w:p>
        </w:tc>
      </w:tr>
      <w:tr w:rsidR="00596884" w:rsidRPr="00B54767" w:rsidTr="00CB2CC9">
        <w:trPr>
          <w:cantSplit/>
          <w:trHeight w:val="85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="Calibri Light"/>
                <w:sz w:val="22"/>
              </w:rPr>
              <w:t xml:space="preserve">Stawka opłaty abonamentowej (zł/odbiorcę/6 </w:t>
            </w:r>
            <w:proofErr w:type="spellStart"/>
            <w:r>
              <w:rPr>
                <w:rFonts w:asciiTheme="minorHAnsi" w:hAnsiTheme="minorHAnsi" w:cs="Calibri Light"/>
                <w:sz w:val="22"/>
              </w:rPr>
              <w:t>m-cy</w:t>
            </w:r>
            <w:proofErr w:type="spellEnd"/>
            <w:r>
              <w:rPr>
                <w:rFonts w:asciiTheme="minorHAnsi" w:hAnsiTheme="minorHAnsi" w:cs="Calibri Light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2,00</w:t>
            </w:r>
          </w:p>
        </w:tc>
      </w:tr>
    </w:tbl>
    <w:p w:rsidR="00596884" w:rsidRPr="00B54767" w:rsidRDefault="00596884" w:rsidP="0059688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B54767">
        <w:rPr>
          <w:rFonts w:asciiTheme="minorHAnsi" w:hAnsiTheme="minorHAnsi"/>
          <w:b/>
          <w:sz w:val="22"/>
          <w:szCs w:val="22"/>
        </w:rPr>
        <w:t>WYSOKOŚĆ CEN I STAWEK OPŁAT ZBIOROWEGO ODPROWADZANIA ŚCIEKÓW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281"/>
        <w:gridCol w:w="2345"/>
        <w:gridCol w:w="1984"/>
        <w:gridCol w:w="1985"/>
        <w:gridCol w:w="1911"/>
      </w:tblGrid>
      <w:tr w:rsidR="00596884" w:rsidRPr="00B54767" w:rsidTr="00CB2CC9">
        <w:trPr>
          <w:cantSplit/>
          <w:trHeight w:val="72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ind w:hanging="38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pl-PL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Lp</w:t>
            </w:r>
            <w:r w:rsidRPr="001E7D9D"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bidi="en-US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Wyszczególnienie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Wielkość cen i stawek opłat</w:t>
            </w:r>
          </w:p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(podane są cenami netto)</w:t>
            </w:r>
          </w:p>
        </w:tc>
      </w:tr>
      <w:tr w:rsidR="00596884" w:rsidRPr="00B54767" w:rsidTr="00CB2CC9">
        <w:trPr>
          <w:cantSplit/>
          <w:trHeight w:val="27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ind w:hanging="7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Taryfowa grupa odbiorców usług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ind w:hanging="8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>Rodzaj cen i stawek opłat</w:t>
            </w: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lang w:bidi="en-US"/>
              </w:rPr>
            </w:pPr>
          </w:p>
        </w:tc>
      </w:tr>
      <w:tr w:rsidR="00596884" w:rsidRPr="00B54767" w:rsidTr="00CB2CC9">
        <w:trPr>
          <w:cantSplit/>
          <w:trHeight w:val="27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lang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84" w:rsidRPr="001E7D9D" w:rsidRDefault="00596884" w:rsidP="00CB2CC9">
            <w:pPr>
              <w:ind w:hanging="1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 xml:space="preserve">W okresie od </w:t>
            </w: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br/>
              <w:t>1 do 12 miesiąca obowiązywania nowej taryfy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84" w:rsidRPr="001E7D9D" w:rsidRDefault="00596884" w:rsidP="00CB2CC9">
            <w:pPr>
              <w:ind w:hanging="15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 xml:space="preserve">W okresie od </w:t>
            </w: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br/>
              <w:t>13 do 24 miesiąca obowiązywania nowej taryfy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84" w:rsidRPr="001E7D9D" w:rsidRDefault="00596884" w:rsidP="00CB2CC9">
            <w:pPr>
              <w:ind w:hanging="16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t xml:space="preserve">W okresie od </w:t>
            </w:r>
            <w:r w:rsidRPr="001E7D9D">
              <w:rPr>
                <w:rFonts w:asciiTheme="minorHAnsi" w:hAnsiTheme="minorHAnsi" w:cstheme="minorHAnsi"/>
                <w:b/>
                <w:bCs/>
                <w:sz w:val="22"/>
              </w:rPr>
              <w:br/>
              <w:t>25 do 36 miesiąca obowiązywania nowej taryfy</w:t>
            </w:r>
          </w:p>
        </w:tc>
      </w:tr>
      <w:tr w:rsidR="00596884" w:rsidRPr="00B54767" w:rsidTr="00CB2CC9">
        <w:trPr>
          <w:cantSplit/>
          <w:trHeight w:val="106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left"/>
              <w:rPr>
                <w:rFonts w:asciiTheme="minorHAnsi" w:hAnsiTheme="minorHAnsi" w:cstheme="minorHAnsi"/>
                <w:sz w:val="22"/>
                <w:lang w:bidi="en-US"/>
              </w:rPr>
            </w:pPr>
          </w:p>
        </w:tc>
      </w:tr>
      <w:tr w:rsidR="00596884" w:rsidRPr="00B54767" w:rsidTr="00CB2CC9">
        <w:trPr>
          <w:cantSplit/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 w:rsidRPr="001E7D9D"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  <w:lang w:bidi="en-US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</w:rPr>
              <w:t>K1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>Cena ścieków (zł/m</w:t>
            </w:r>
            <w:r w:rsidRPr="001E7D9D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1E7D9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Pr="001E7D9D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Pr="001E7D9D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84" w:rsidRPr="001E7D9D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Pr="001E7D9D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>54</w:t>
            </w:r>
          </w:p>
        </w:tc>
      </w:tr>
      <w:tr w:rsidR="00596884" w:rsidRPr="00B54767" w:rsidTr="00CB2CC9">
        <w:trPr>
          <w:cantSplit/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 xml:space="preserve">Grupa </w:t>
            </w:r>
            <w:r>
              <w:rPr>
                <w:rFonts w:asciiTheme="minorHAnsi" w:hAnsiTheme="minorHAnsi" w:cstheme="minorHAnsi"/>
                <w:sz w:val="22"/>
              </w:rPr>
              <w:t>K2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Pr="001E7D9D" w:rsidRDefault="00596884" w:rsidP="00CB2CC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7D9D">
              <w:rPr>
                <w:rFonts w:asciiTheme="minorHAnsi" w:hAnsiTheme="minorHAnsi" w:cstheme="minorHAnsi"/>
                <w:sz w:val="22"/>
              </w:rPr>
              <w:t>Cena ścieków (zł/m</w:t>
            </w:r>
            <w:r w:rsidRPr="001E7D9D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1E7D9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9,60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4" w:rsidRDefault="00596884" w:rsidP="00CB2CC9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9,72</w:t>
            </w:r>
          </w:p>
        </w:tc>
      </w:tr>
    </w:tbl>
    <w:p w:rsidR="00596884" w:rsidRPr="003071B8" w:rsidRDefault="00596884" w:rsidP="00596884">
      <w:pPr>
        <w:pStyle w:val="Akapitzlist"/>
        <w:numPr>
          <w:ilvl w:val="0"/>
          <w:numId w:val="1"/>
        </w:numPr>
        <w:spacing w:before="120" w:after="0" w:line="240" w:lineRule="auto"/>
        <w:ind w:left="1429"/>
        <w:rPr>
          <w:rFonts w:asciiTheme="minorHAnsi" w:hAnsiTheme="minorHAnsi" w:cstheme="minorHAnsi"/>
          <w:sz w:val="22"/>
          <w:szCs w:val="22"/>
        </w:rPr>
      </w:pPr>
      <w:r w:rsidRPr="00B54767">
        <w:rPr>
          <w:rFonts w:asciiTheme="minorHAnsi" w:hAnsiTheme="minorHAnsi" w:cstheme="minorHAnsi"/>
          <w:b/>
          <w:sz w:val="22"/>
          <w:szCs w:val="22"/>
        </w:rPr>
        <w:t>TARYFOWE GRUPY ODBIORCÓW USŁUG</w:t>
      </w:r>
    </w:p>
    <w:p w:rsidR="00596884" w:rsidRPr="003071B8" w:rsidRDefault="00596884" w:rsidP="00596884">
      <w:pPr>
        <w:pStyle w:val="Tekstpodstawowywcity"/>
        <w:tabs>
          <w:tab w:val="left" w:pos="709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3071B8">
        <w:rPr>
          <w:rFonts w:asciiTheme="minorHAnsi" w:hAnsiTheme="minorHAnsi" w:cs="Arial"/>
          <w:b/>
          <w:bCs/>
          <w:sz w:val="22"/>
          <w:szCs w:val="22"/>
        </w:rPr>
        <w:t>W zakresie zbiorowego zaopatrzenia w wodę wyłoniono trzy grupy taryfowe odbiorców usług:</w:t>
      </w:r>
    </w:p>
    <w:tbl>
      <w:tblPr>
        <w:tblStyle w:val="TableNormal"/>
        <w:tblW w:w="10206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276"/>
        <w:gridCol w:w="8930"/>
      </w:tblGrid>
      <w:tr w:rsidR="00596884" w:rsidRPr="003071B8" w:rsidTr="00CB2CC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6884" w:rsidRPr="003071B8" w:rsidRDefault="00596884" w:rsidP="00CB2CC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071B8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lastRenderedPageBreak/>
              <w:t>Oznaczenie</w:t>
            </w:r>
          </w:p>
          <w:p w:rsidR="00596884" w:rsidRPr="003071B8" w:rsidRDefault="00596884" w:rsidP="00CB2CC9">
            <w:pPr>
              <w:jc w:val="center"/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071B8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grupy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6884" w:rsidRPr="003071B8" w:rsidRDefault="00596884" w:rsidP="00CB2CC9">
            <w:pPr>
              <w:jc w:val="center"/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071B8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Opis taryfowej grupy odbiorców</w:t>
            </w:r>
          </w:p>
        </w:tc>
      </w:tr>
      <w:tr w:rsidR="00596884" w:rsidRPr="003071B8" w:rsidTr="00CB2CC9">
        <w:trPr>
          <w:trHeight w:val="7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6884" w:rsidRPr="003071B8" w:rsidRDefault="00596884" w:rsidP="00CB2CC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071B8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  <w:lang w:eastAsia="pl-PL"/>
              </w:rPr>
              <w:t>Grupa W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884" w:rsidRPr="00B24F6D" w:rsidRDefault="00596884" w:rsidP="00CB2CC9">
            <w:pP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</w:pP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Grupa ta obejmuje </w:t>
            </w:r>
            <w:r w:rsidRPr="003071B8">
              <w:rPr>
                <w:rFonts w:asciiTheme="minorHAnsi" w:eastAsia="Times New Roman" w:hAnsiTheme="minorHAnsi" w:cs="Arial"/>
                <w:b/>
                <w:sz w:val="22"/>
                <w:szCs w:val="22"/>
                <w:bdr w:val="none" w:sz="0" w:space="0" w:color="auto" w:frame="1"/>
                <w:lang w:eastAsia="ar-SA"/>
              </w:rPr>
              <w:t>gospodarstwa domowe</w:t>
            </w: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pobierające wodę na cele socjaln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o</w:t>
            </w: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-bytowe, rozliczane na podstawie wskazań wodomierza głównego, w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2</w:t>
            </w: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-miesięcznym okresie rozliczeniowym.</w:t>
            </w:r>
          </w:p>
        </w:tc>
      </w:tr>
      <w:tr w:rsidR="00596884" w:rsidRPr="003071B8" w:rsidTr="00CB2CC9">
        <w:trPr>
          <w:trHeight w:val="7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6884" w:rsidRPr="003071B8" w:rsidRDefault="00596884" w:rsidP="00CB2CC9">
            <w:pPr>
              <w:jc w:val="center"/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071B8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Grupa W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84" w:rsidRPr="003071B8" w:rsidRDefault="00596884" w:rsidP="00CB2CC9">
            <w:pPr>
              <w:suppressAutoHyphens/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</w:pP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Grupa ta obejmuje </w:t>
            </w:r>
            <w:r w:rsidRPr="003071B8">
              <w:rPr>
                <w:rFonts w:asciiTheme="minorHAnsi" w:eastAsia="Times New Roman" w:hAnsiTheme="minorHAnsi" w:cs="Arial"/>
                <w:b/>
                <w:sz w:val="22"/>
                <w:szCs w:val="22"/>
                <w:bdr w:val="none" w:sz="0" w:space="0" w:color="auto" w:frame="1"/>
                <w:lang w:eastAsia="ar-SA"/>
              </w:rPr>
              <w:t>Gminę i jej  jednostki budżetowe, jednostki oświaty i kultury, przedsiębiorców prowadzących działalność produkcyjną, handlową i usługową</w:t>
            </w: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pobierających wodę do celów związanych z prowadzoną działalnością i  rozliczanych na podstawie wskazań wodomierza głównego, w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2</w:t>
            </w: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-miesięcznym okresie rozliczeniowym.</w:t>
            </w:r>
          </w:p>
        </w:tc>
      </w:tr>
      <w:tr w:rsidR="00596884" w:rsidRPr="003071B8" w:rsidTr="00CB2CC9">
        <w:trPr>
          <w:trHeight w:val="5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6884" w:rsidRPr="003071B8" w:rsidRDefault="00596884" w:rsidP="00CB2CC9">
            <w:pPr>
              <w:jc w:val="center"/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071B8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Grupa W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84" w:rsidRPr="003071B8" w:rsidRDefault="00596884" w:rsidP="00CB2CC9">
            <w:pP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</w:pP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Grupa ta obejmuje </w:t>
            </w:r>
            <w:r w:rsidRPr="003071B8">
              <w:rPr>
                <w:rFonts w:asciiTheme="minorHAnsi" w:eastAsia="Times New Roman" w:hAnsiTheme="minorHAnsi" w:cs="Arial"/>
                <w:b/>
                <w:sz w:val="22"/>
                <w:szCs w:val="22"/>
                <w:bdr w:val="none" w:sz="0" w:space="0" w:color="auto" w:frame="1"/>
                <w:lang w:eastAsia="ar-SA"/>
              </w:rPr>
              <w:t>Gminę pobierającą wodę na cele p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bdr w:val="none" w:sz="0" w:space="0" w:color="auto" w:frame="1"/>
                <w:lang w:eastAsia="ar-SA"/>
              </w:rPr>
              <w:t>.</w:t>
            </w:r>
            <w:r w:rsidRPr="003071B8">
              <w:rPr>
                <w:rFonts w:asciiTheme="minorHAnsi" w:eastAsia="Times New Roman" w:hAnsiTheme="minorHAnsi" w:cs="Arial"/>
                <w:b/>
                <w:sz w:val="22"/>
                <w:szCs w:val="22"/>
                <w:bdr w:val="none" w:sz="0" w:space="0" w:color="auto" w:frame="1"/>
                <w:lang w:eastAsia="ar-SA"/>
              </w:rPr>
              <w:t>poż wynikające z art.22 ustawy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bdr w:val="none" w:sz="0" w:space="0" w:color="auto" w:frame="1"/>
                <w:lang w:eastAsia="ar-SA"/>
              </w:rPr>
              <w:t>,</w:t>
            </w: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rozliczaną na podstawie półrocznych raportów składanych przez OSP.  </w:t>
            </w:r>
          </w:p>
        </w:tc>
      </w:tr>
    </w:tbl>
    <w:p w:rsidR="00596884" w:rsidRPr="003071B8" w:rsidRDefault="00596884" w:rsidP="00596884">
      <w:pPr>
        <w:pStyle w:val="Tekstpodstawowywcity"/>
        <w:tabs>
          <w:tab w:val="left" w:pos="709"/>
        </w:tabs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zbiorowego odprowadzania ścieków wyłoniono dwie grupy taryfowe odbiorców usług:</w:t>
      </w:r>
    </w:p>
    <w:tbl>
      <w:tblPr>
        <w:tblStyle w:val="TableNormal"/>
        <w:tblW w:w="100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277"/>
        <w:gridCol w:w="8783"/>
      </w:tblGrid>
      <w:tr w:rsidR="00596884" w:rsidRPr="00AD782D" w:rsidTr="00CB2CC9">
        <w:trPr>
          <w:trHeight w:val="61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6884" w:rsidRPr="00AD782D" w:rsidRDefault="00596884" w:rsidP="00CB2CC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AD782D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Oznaczenie</w:t>
            </w:r>
          </w:p>
          <w:p w:rsidR="00596884" w:rsidRPr="00AD782D" w:rsidRDefault="00596884" w:rsidP="00CB2CC9">
            <w:pPr>
              <w:jc w:val="center"/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AD782D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grupy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6884" w:rsidRPr="00AD782D" w:rsidRDefault="00596884" w:rsidP="00CB2CC9">
            <w:pPr>
              <w:jc w:val="center"/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AD782D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  <w:lang w:eastAsia="pl-PL"/>
              </w:rPr>
              <w:t>Opis taryfowej grupy odbiorców</w:t>
            </w:r>
          </w:p>
        </w:tc>
      </w:tr>
      <w:tr w:rsidR="00596884" w:rsidRPr="00AD782D" w:rsidTr="00CB2CC9">
        <w:trPr>
          <w:trHeight w:val="80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6884" w:rsidRPr="00AD782D" w:rsidRDefault="00596884" w:rsidP="00CB2CC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AD782D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  <w:lang w:eastAsia="pl-PL"/>
              </w:rPr>
              <w:t>Grupa K 1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884" w:rsidRPr="00AD782D" w:rsidRDefault="00596884" w:rsidP="00CB2CC9">
            <w:pP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</w:pP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Grupa ta obejmuje </w:t>
            </w:r>
            <w:r w:rsidRPr="00AD782D">
              <w:rPr>
                <w:rFonts w:asciiTheme="minorHAnsi" w:eastAsia="Times New Roman" w:hAnsiTheme="minorHAnsi" w:cs="Arial"/>
                <w:b/>
                <w:sz w:val="22"/>
                <w:szCs w:val="22"/>
                <w:bdr w:val="none" w:sz="0" w:space="0" w:color="auto" w:frame="1"/>
                <w:lang w:eastAsia="ar-SA"/>
              </w:rPr>
              <w:t>gospodarstwa domowe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odprowadzające ścieki bytowe do kanalizacji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, 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rozliczanych jako równą ilości wody pobranej na podstawie wskazań wodomierza głównego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oraz ustalonej różnicy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ilości wody bezpowrotnie zużytej na podstawie wskazań wodomierza dodatkowego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zainstalowanego na koszt odbiorcy usług a ilością 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pobranej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wody według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wskazań wodomierza głównego, w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2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-miesięcznym okresie rozliczeniowym. </w:t>
            </w:r>
          </w:p>
        </w:tc>
      </w:tr>
      <w:tr w:rsidR="00596884" w:rsidRPr="00AD782D" w:rsidTr="00CB2CC9">
        <w:trPr>
          <w:trHeight w:val="80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884" w:rsidRDefault="00596884" w:rsidP="00CB2CC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AD782D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  <w:lang w:eastAsia="pl-PL"/>
              </w:rPr>
              <w:t xml:space="preserve">Grupa K </w:t>
            </w:r>
            <w:r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  <w:lang w:eastAsia="pl-PL"/>
              </w:rPr>
              <w:t>2</w:t>
            </w:r>
          </w:p>
          <w:p w:rsidR="00596884" w:rsidRPr="00AD782D" w:rsidRDefault="00596884" w:rsidP="00CB2CC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  <w:lang w:eastAsia="pl-PL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884" w:rsidRPr="00AD782D" w:rsidRDefault="00596884" w:rsidP="00CB2CC9">
            <w:pPr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</w:pP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Grupa ta obejmuje </w:t>
            </w:r>
            <w:r w:rsidRPr="003071B8">
              <w:rPr>
                <w:rFonts w:asciiTheme="minorHAnsi" w:eastAsia="Times New Roman" w:hAnsiTheme="minorHAnsi" w:cs="Arial"/>
                <w:b/>
                <w:sz w:val="22"/>
                <w:szCs w:val="22"/>
                <w:bdr w:val="none" w:sz="0" w:space="0" w:color="auto" w:frame="1"/>
                <w:lang w:eastAsia="ar-SA"/>
              </w:rPr>
              <w:t>Gminę i jej  jednostki budżetowe, jednostki oświaty i kultury, przedsiębiorców prowadzących działalność produkcyjną, handlową i usługową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odprowadzające ścieki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komunalne</w:t>
            </w: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związan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e</w:t>
            </w:r>
            <w:r w:rsidRPr="003071B8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z prowadzoną działalnością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i 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rozliczanych jako równą ilości wody pobranej na podstawie wskazań wodomierza głównego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oraz ustalonej różnicy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ilości wody bezpowrotnie zużytej na podstawie wskazań wodomierza dodatkowego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zainstalowanego na koszt odbiorcy usług a ilością 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pobranej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wody według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 xml:space="preserve"> wskazań wodomierza głównego, w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2</w:t>
            </w:r>
            <w:r w:rsidRPr="00AD782D">
              <w:rPr>
                <w:rFonts w:asciiTheme="minorHAnsi" w:eastAsia="Times New Roman" w:hAnsiTheme="minorHAnsi" w:cs="Arial"/>
                <w:sz w:val="22"/>
                <w:szCs w:val="22"/>
                <w:bdr w:val="none" w:sz="0" w:space="0" w:color="auto" w:frame="1"/>
                <w:lang w:eastAsia="ar-SA"/>
              </w:rPr>
              <w:t>-miesięcznym okresie rozliczeniowym.</w:t>
            </w:r>
          </w:p>
        </w:tc>
      </w:tr>
    </w:tbl>
    <w:p w:rsidR="00194BF6" w:rsidRDefault="00194BF6" w:rsidP="006C5579">
      <w:pPr>
        <w:ind w:firstLine="0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194BF6" w:rsidRDefault="00194BF6" w:rsidP="00596884">
      <w:pPr>
        <w:ind w:firstLine="708"/>
        <w:rPr>
          <w:b/>
          <w:bCs/>
        </w:rPr>
      </w:pPr>
    </w:p>
    <w:p w:rsidR="00596884" w:rsidRDefault="00596884" w:rsidP="00E33A3F">
      <w:pPr>
        <w:ind w:firstLine="0"/>
        <w:rPr>
          <w:b/>
          <w:bCs/>
        </w:rPr>
      </w:pPr>
    </w:p>
    <w:sectPr w:rsidR="00596884" w:rsidSect="00596884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E6" w:rsidRDefault="002554E6" w:rsidP="00596884">
      <w:r>
        <w:separator/>
      </w:r>
    </w:p>
  </w:endnote>
  <w:endnote w:type="continuationSeparator" w:id="0">
    <w:p w:rsidR="002554E6" w:rsidRDefault="002554E6" w:rsidP="0059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E6" w:rsidRDefault="002554E6" w:rsidP="00596884">
      <w:r>
        <w:separator/>
      </w:r>
    </w:p>
  </w:footnote>
  <w:footnote w:type="continuationSeparator" w:id="0">
    <w:p w:rsidR="002554E6" w:rsidRDefault="002554E6" w:rsidP="00596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739"/>
    <w:multiLevelType w:val="hybridMultilevel"/>
    <w:tmpl w:val="F4B20436"/>
    <w:lvl w:ilvl="0" w:tplc="FD0ECF6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FB6"/>
    <w:rsid w:val="001774DE"/>
    <w:rsid w:val="00194BF6"/>
    <w:rsid w:val="002554E6"/>
    <w:rsid w:val="00305507"/>
    <w:rsid w:val="00311A1A"/>
    <w:rsid w:val="00347136"/>
    <w:rsid w:val="004316FD"/>
    <w:rsid w:val="00442D58"/>
    <w:rsid w:val="004B77B0"/>
    <w:rsid w:val="00506532"/>
    <w:rsid w:val="00567268"/>
    <w:rsid w:val="005843DC"/>
    <w:rsid w:val="00596884"/>
    <w:rsid w:val="006C5579"/>
    <w:rsid w:val="00711FB6"/>
    <w:rsid w:val="0076220E"/>
    <w:rsid w:val="00897CEF"/>
    <w:rsid w:val="009C26B3"/>
    <w:rsid w:val="00AA6241"/>
    <w:rsid w:val="00AB52A0"/>
    <w:rsid w:val="00C14F51"/>
    <w:rsid w:val="00C71BC7"/>
    <w:rsid w:val="00C96B5B"/>
    <w:rsid w:val="00D9106E"/>
    <w:rsid w:val="00DD4778"/>
    <w:rsid w:val="00E3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726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5507"/>
    <w:pPr>
      <w:spacing w:before="200" w:after="200" w:line="276" w:lineRule="auto"/>
      <w:ind w:left="720" w:firstLine="0"/>
      <w:contextualSpacing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05507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andard">
    <w:name w:val="Standard"/>
    <w:qFormat/>
    <w:rsid w:val="00305507"/>
    <w:pPr>
      <w:suppressAutoHyphens/>
      <w:autoSpaceDN w:val="0"/>
      <w:ind w:firstLine="0"/>
      <w:jc w:val="left"/>
      <w:textAlignment w:val="baseline"/>
    </w:pPr>
    <w:rPr>
      <w:rFonts w:ascii="Calibri" w:eastAsia="Times New Roman" w:hAnsi="Calibri" w:cs="Times New Roman"/>
      <w:kern w:val="3"/>
      <w:szCs w:val="24"/>
      <w:lang w:eastAsia="pl-PL"/>
    </w:rPr>
  </w:style>
  <w:style w:type="table" w:customStyle="1" w:styleId="TableNormal">
    <w:name w:val="Table Normal"/>
    <w:rsid w:val="00305507"/>
    <w:pPr>
      <w:ind w:firstLine="0"/>
      <w:jc w:val="left"/>
    </w:pPr>
    <w:rPr>
      <w:rFonts w:eastAsia="Arial Unicode MS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05507"/>
    <w:pPr>
      <w:spacing w:before="200" w:after="120" w:line="276" w:lineRule="auto"/>
      <w:ind w:left="283" w:firstLine="0"/>
    </w:pPr>
    <w:rPr>
      <w:rFonts w:ascii="Calibri" w:eastAsia="Times New Roman" w:hAnsi="Calibri" w:cs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5507"/>
    <w:rPr>
      <w:rFonts w:ascii="Calibri" w:eastAsia="Times New Roman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6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884"/>
  </w:style>
  <w:style w:type="paragraph" w:styleId="Stopka">
    <w:name w:val="footer"/>
    <w:basedOn w:val="Normalny"/>
    <w:link w:val="StopkaZnak"/>
    <w:uiPriority w:val="99"/>
    <w:unhideWhenUsed/>
    <w:rsid w:val="00596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Maciek</cp:lastModifiedBy>
  <cp:revision>2</cp:revision>
  <cp:lastPrinted>2021-07-21T12:27:00Z</cp:lastPrinted>
  <dcterms:created xsi:type="dcterms:W3CDTF">2021-08-10T07:45:00Z</dcterms:created>
  <dcterms:modified xsi:type="dcterms:W3CDTF">2021-08-10T07:45:00Z</dcterms:modified>
</cp:coreProperties>
</file>